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65</w:t>
      </w:r>
    </w:p>
    <w:p>
      <w:r>
        <w:t>Bundesgericht (BGE), 1969-05-16, DE</w:t>
      </w:r>
    </w:p>
    <w:p>
      <w:r>
        <w:rPr>
          <w:b/>
        </w:rPr>
        <w:t xml:space="preserve">Quelle: </w:t>
      </w:r>
      <w:r>
        <w:t>https://mcp.opencaselaw.ch/entscheid/bge_95 IV 65</w:t>
      </w:r>
    </w:p>
    <w:p>
      <w:r>
        <w:t>FR: ATF 95 IV 65</w:t>
      </w:r>
    </w:p>
    <w:p>
      <w:r>
        <w:t>IT: DTF 95 IV 65</w:t>
      </w:r>
    </w:p>
    <w:p>
      <w:pPr>
        <w:pStyle w:val="Heading2"/>
      </w:pPr>
      <w:r>
        <w:t>Regeste</w:t>
      </w:r>
    </w:p>
    <w:p>
      <w:r>
        <w:t>Regeste Art. 159 Abs. 1 StGB. Ungetreue Geschäftsführung setzt voraus, dass der zur Fürsorge Verpflichtete befugt ist, über das fremde Vermögen selbständig zu verfügen.</w:t>
      </w:r>
    </w:p>
    <w:p>
      <w:pPr>
        <w:pStyle w:val="Heading2"/>
      </w:pPr>
      <w:r>
        <w:t>Erwägungen</w:t>
      </w:r>
    </w:p>
    <w:p>
      <w:r>
        <w:rPr>
          <w:b/>
        </w:rPr>
        <w:t>E. 1</w:t>
      </w:r>
    </w:p>
    <w:p>
      <w:r>
        <w:t>Rieder erhöhte im 4. Quartal 1966 das Taggeld der Krankenversicheruug für die Fremdarbeiter ohne Wissen der Geschäftsleitung von Fr. 10.50 auf Fr. 15.75 und liess die dadurch monatlich pro Arbeiter geschuldete Mehrprämie von Fr. 5.25, insgesamt Fr. 173.25, durch das Geschäft bezahlen, BGE 95 IV 65 S. 66 statt sie den Arbeitern zu belasten. Ferner täuschte Rieder in den Jahren 1965 und 1966 durch falsche Abrechnungen grössere Prämienzahlungen vor, als sie vom Geschäft der Krankenkasse geschuldet und entrichtet worden waren, und verwendete die Differenzbeträge, insgesamt Fr. 914.20, dazu, in Krankheitsfällen auch die Selbstbehalte und kleinere Arztrechnungen, die von den Arbeitern zu tragen gewesen wären, zu Lasten des Geschäfts zu übernehmen. Es ist unbestritten, dass Rieder die Firma vorsätzlich schädigte, um die Arbeiter zu begünstigen. Art. 159 Abs. 1 StGB ist in diesen beiden Fällen nur anwendbar, wenn Rieder die Fürsorgepflicht, die ihm für das Geschäftsvermögen oblag, als Geschäftsführer verletzt hat. Geschäftsführung setzt voraus, dass der zur Fürsorge Verpflichtete zur selbständigen Verfügung über das fremde Vermögen oder Bestandteile eines solchen befugt ist ( BGE 81 IV 279 , BGE 86 IV 14 ). Eine derartige Stellung hatte der Beschwerdeführer nicht. Weder konnte er über die Leistungen bestimmen, für die die Fremdarbeiter bei der Krankenkasse auf Kosten des Geschäfts versichert waren, noch stand ihm über die Kasse oder das Postcheckkonto ein Verfügungsrecht zu. Er hatte nur die für die Entscheidungen erforderlichen Unterlagen zu beschaffen und die technische Seite des Postcheckverkehrs zu besorgen, insbesondere die Abrechnungen sowie Einzahlungsscheine und Girozettel zu erstellen. Verfügungen zu treffen, war Sache der Direktion, die auch allein unterschriftsberechtigt war. Der Umstand, dass der Direktor auf die Fachkenntnisse des Beschwerdeführers angewiesen war und alles unterschrieb, was ihm dieser vorlegte, kennzeichnet den Beschwerdeführer entgegen der Auffassung der Vorinstanz nicht als Geschäftsführer; die Verfügungsmacht über das Geschäftsvermögen blieb trotzdem der Direktion vorbehalten.</w:t>
      </w:r>
    </w:p>
    <w:p>
      <w:r>
        <w:rPr>
          <w:b/>
        </w:rPr>
        <w:t>E. 2</w:t>
      </w:r>
    </w:p>
    <w:p>
      <w:r>
        <w:t>Erfüllt ist dagegen der Tatbestand des Betruges ( Art. 148 Abs. 1 StGB ). Der Beschwerdeführer hat Direktor Ruf durch falsche Abrechnungen arglistig getäuscht und ihn dadurch zu den die Firma schädigenden Zahlungen bestimmt (was näher ausgeführt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